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eastAsia="宋体"/>
          <w:sz w:val="22"/>
          <w:szCs w:val="15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附件1：</w:t>
      </w:r>
      <w:r>
        <w:rPr>
          <w:rFonts w:hint="eastAsia"/>
          <w:sz w:val="22"/>
          <w:szCs w:val="15"/>
          <w:lang w:val="en-US" w:eastAsia="zh-CN"/>
        </w:rPr>
        <w:t>前列腺</w:t>
      </w:r>
      <w:r>
        <w:rPr>
          <w:rFonts w:hint="eastAsia"/>
          <w:sz w:val="22"/>
          <w:szCs w:val="15"/>
        </w:rPr>
        <w:t>电切镜</w:t>
      </w:r>
      <w:r>
        <w:rPr>
          <w:rFonts w:hint="eastAsia"/>
          <w:sz w:val="22"/>
          <w:szCs w:val="15"/>
          <w:lang w:val="en-US" w:eastAsia="zh-CN"/>
        </w:rPr>
        <w:t>技术参数</w:t>
      </w:r>
    </w:p>
    <w:p>
      <w:r>
        <w:rPr>
          <w:rFonts w:hint="eastAsia" w:ascii="仿宋" w:hAnsi="仿宋" w:eastAsia="仿宋" w:cs="宋体"/>
          <w:bCs/>
          <w:color w:val="000000"/>
          <w:sz w:val="24"/>
          <w:highlight w:val="none"/>
        </w:rPr>
        <w:t>★</w:t>
      </w:r>
      <w:r>
        <w:rPr>
          <w:rFonts w:hint="eastAsia" w:ascii="仿宋" w:hAnsi="仿宋" w:eastAsia="仿宋" w:cs="Times"/>
          <w:bCs/>
          <w:color w:val="000000"/>
          <w:kern w:val="0"/>
          <w:sz w:val="24"/>
          <w:highlight w:val="none"/>
          <w:lang w:val="en-US"/>
        </w:rPr>
        <w:t>号参数为</w:t>
      </w:r>
      <w:r>
        <w:rPr>
          <w:rFonts w:hint="eastAsia" w:ascii="仿宋" w:hAnsi="仿宋" w:eastAsia="仿宋" w:cs="Times"/>
          <w:bCs/>
          <w:color w:val="000000"/>
          <w:kern w:val="0"/>
          <w:sz w:val="24"/>
          <w:highlight w:val="none"/>
          <w:lang w:val="en-US" w:eastAsia="zh-CN"/>
        </w:rPr>
        <w:t>实质性</w:t>
      </w:r>
      <w:r>
        <w:rPr>
          <w:rFonts w:hint="eastAsia" w:ascii="仿宋" w:hAnsi="仿宋" w:eastAsia="仿宋" w:cs="Times"/>
          <w:bCs/>
          <w:color w:val="000000"/>
          <w:kern w:val="0"/>
          <w:sz w:val="24"/>
          <w:highlight w:val="none"/>
          <w:lang w:val="en-US"/>
        </w:rPr>
        <w:t>参数，</w:t>
      </w:r>
      <w:r>
        <w:rPr>
          <w:rFonts w:hint="eastAsia" w:ascii="仿宋" w:hAnsi="仿宋" w:eastAsia="仿宋" w:cs="Times"/>
          <w:bCs/>
          <w:color w:val="000000"/>
          <w:kern w:val="0"/>
          <w:sz w:val="24"/>
          <w:highlight w:val="none"/>
          <w:lang w:val="en-US" w:eastAsia="zh-CN"/>
        </w:rPr>
        <w:t>必须满足，</w:t>
      </w:r>
      <w:r>
        <w:rPr>
          <w:rFonts w:hint="eastAsia" w:ascii="仿宋" w:hAnsi="仿宋" w:eastAsia="仿宋" w:cs="Times"/>
          <w:bCs/>
          <w:color w:val="000000"/>
          <w:kern w:val="0"/>
          <w:sz w:val="24"/>
          <w:highlight w:val="none"/>
          <w:lang w:val="en-US"/>
        </w:rPr>
        <w:t>需提供证明文件佐证。</w:t>
      </w:r>
    </w:p>
    <w:p>
      <w:pPr>
        <w:widowControl w:val="0"/>
        <w:numPr>
          <w:ilvl w:val="0"/>
          <w:numId w:val="2"/>
        </w:numPr>
        <w:spacing w:line="360" w:lineRule="auto"/>
        <w:ind w:left="425" w:leftChars="0" w:hanging="425" w:firstLineChars="0"/>
        <w:jc w:val="both"/>
        <w:rPr>
          <w:rFonts w:hint="eastAsia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★</w:t>
      </w:r>
      <w:r>
        <w:rPr>
          <w:rFonts w:hint="eastAsia"/>
        </w:rPr>
        <w:t>电切镜是生理盐水下专用双极电切镜。</w:t>
      </w:r>
    </w:p>
    <w:p>
      <w:pPr>
        <w:widowControl w:val="0"/>
        <w:numPr>
          <w:ilvl w:val="0"/>
          <w:numId w:val="2"/>
        </w:numPr>
        <w:spacing w:line="360" w:lineRule="auto"/>
        <w:ind w:left="425" w:leftChars="0" w:hanging="425" w:firstLineChars="0"/>
        <w:jc w:val="both"/>
        <w:rPr>
          <w:rFonts w:hint="eastAsia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★</w:t>
      </w:r>
      <w:r>
        <w:rPr>
          <w:rFonts w:hint="eastAsia"/>
        </w:rPr>
        <w:t>电流不经过镜鞘，只在电极前端产生电流。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</w:rPr>
        <w:t>电切镜工作时，灌注液为生理盐水。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</w:rPr>
        <w:t>镜子：30°蓝宝石镜，Φ2.9mm；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</w:rPr>
        <w:t>手柄：被动式操作器；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★</w:t>
      </w:r>
      <w:r>
        <w:rPr>
          <w:rFonts w:hint="eastAsia"/>
        </w:rPr>
        <w:t>内鞘：21Fr；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★</w:t>
      </w:r>
      <w:r>
        <w:rPr>
          <w:rFonts w:hint="eastAsia"/>
        </w:rPr>
        <w:t>外鞘：2</w:t>
      </w:r>
      <w:r>
        <w:rPr>
          <w:rFonts w:hint="default"/>
          <w:lang w:val="en-US"/>
        </w:rPr>
        <w:t>4</w:t>
      </w:r>
      <w:r>
        <w:rPr>
          <w:rFonts w:hint="eastAsia"/>
        </w:rPr>
        <w:t>Fr，带进、出水通道和控制开关；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</w:rPr>
        <w:t xml:space="preserve">内窥镜镜体全部采用不锈钢管； 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</w:pPr>
      <w:r>
        <w:rPr>
          <w:rFonts w:hint="eastAsia"/>
        </w:rPr>
        <w:t xml:space="preserve">带有方向标，蓝宝石镜头； 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</w:pPr>
      <w:r>
        <w:rPr>
          <w:rFonts w:hint="eastAsia"/>
        </w:rPr>
        <w:t xml:space="preserve">內鞘前端采用耐高温高强度陶瓷； 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外鞘大量精细的出水孔，更有利于保证术中视野清晰; 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  <w:lang w:val="en-US" w:eastAsia="zh-CN"/>
        </w:rPr>
        <w:t>不锈钢水阀，彻底根除了水阀维护繁琐，易损坏的弊病；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 xml:space="preserve"> 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★</w:t>
      </w:r>
      <w:r>
        <w:rPr>
          <w:rFonts w:hint="eastAsia"/>
          <w:lang w:val="en-US" w:eastAsia="zh-CN"/>
        </w:rPr>
        <w:t>电切镜包括：</w:t>
      </w:r>
    </w:p>
    <w:p>
      <w:pPr>
        <w:numPr>
          <w:ilvl w:val="0"/>
          <w:numId w:val="1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  <w:lang w:val="en-US" w:eastAsia="zh-CN"/>
        </w:rPr>
        <w:t>2.9mm</w:t>
      </w:r>
      <w:r>
        <w:rPr>
          <w:rFonts w:hint="eastAsia"/>
        </w:rPr>
        <w:t>硬性光学内窥镜1</w:t>
      </w:r>
      <w:r>
        <w:rPr>
          <w:rFonts w:hint="eastAsia"/>
          <w:lang w:val="en-US" w:eastAsia="zh-CN"/>
        </w:rPr>
        <w:t>支；</w:t>
      </w:r>
    </w:p>
    <w:p>
      <w:pPr>
        <w:numPr>
          <w:ilvl w:val="0"/>
          <w:numId w:val="1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2</w:t>
      </w:r>
      <w:r>
        <w:rPr>
          <w:rFonts w:hint="default" w:ascii="宋体" w:hAnsi="宋体" w:eastAsia="宋体" w:cs="宋体"/>
          <w:bCs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Fr</w:t>
      </w:r>
      <w:r>
        <w:rPr>
          <w:rFonts w:hint="eastAsia"/>
        </w:rPr>
        <w:t>内鞘套1</w:t>
      </w:r>
      <w:r>
        <w:rPr>
          <w:rFonts w:hint="eastAsia"/>
          <w:lang w:val="en-US" w:eastAsia="zh-CN"/>
        </w:rPr>
        <w:t>支；</w:t>
      </w:r>
    </w:p>
    <w:p>
      <w:pPr>
        <w:numPr>
          <w:ilvl w:val="0"/>
          <w:numId w:val="1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default"/>
          <w:lang w:val="en-US"/>
        </w:rPr>
        <w:t>24Fr</w:t>
      </w:r>
      <w:r>
        <w:rPr>
          <w:rFonts w:hint="eastAsia"/>
        </w:rPr>
        <w:t>外鞘套1</w:t>
      </w:r>
      <w:r>
        <w:rPr>
          <w:rFonts w:hint="eastAsia"/>
          <w:lang w:val="en-US" w:eastAsia="zh-CN"/>
        </w:rPr>
        <w:t>支；</w:t>
      </w:r>
    </w:p>
    <w:p>
      <w:pPr>
        <w:numPr>
          <w:ilvl w:val="0"/>
          <w:numId w:val="1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</w:rPr>
        <w:t>操作器1</w:t>
      </w:r>
      <w:r>
        <w:rPr>
          <w:rFonts w:hint="eastAsia"/>
          <w:lang w:val="en-US" w:eastAsia="zh-CN"/>
        </w:rPr>
        <w:t>各；</w:t>
      </w:r>
    </w:p>
    <w:p>
      <w:pPr>
        <w:numPr>
          <w:ilvl w:val="0"/>
          <w:numId w:val="1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</w:rPr>
        <w:t>闭孔器1</w:t>
      </w:r>
      <w:r>
        <w:rPr>
          <w:rFonts w:hint="eastAsia"/>
          <w:lang w:val="en-US" w:eastAsia="zh-CN"/>
        </w:rPr>
        <w:t>支；</w:t>
      </w:r>
    </w:p>
    <w:p>
      <w:pPr>
        <w:numPr>
          <w:ilvl w:val="0"/>
          <w:numId w:val="1"/>
        </w:numPr>
        <w:spacing w:line="360" w:lineRule="auto"/>
        <w:ind w:left="425" w:leftChars="0" w:hanging="425" w:firstLineChars="0"/>
      </w:pPr>
      <w:r>
        <w:rPr>
          <w:rFonts w:hint="eastAsia"/>
        </w:rPr>
        <w:t>一次性使用等离子电极</w:t>
      </w:r>
      <w:r>
        <w:rPr>
          <w:rFonts w:hint="eastAsia"/>
          <w:lang w:eastAsia="zh-CN"/>
        </w:rPr>
        <w:t>，</w:t>
      </w:r>
      <w:r>
        <w:rPr>
          <w:rFonts w:hint="eastAsia"/>
        </w:rPr>
        <w:t>匹配</w:t>
      </w:r>
      <w:r>
        <w:rPr>
          <w:rFonts w:hint="eastAsia"/>
          <w:lang w:val="en-US" w:eastAsia="zh-CN"/>
        </w:rPr>
        <w:t>该</w:t>
      </w:r>
      <w:r>
        <w:rPr>
          <w:rFonts w:hint="eastAsia"/>
        </w:rPr>
        <w:t>小号电切镜</w:t>
      </w:r>
      <w:r>
        <w:rPr>
          <w:rFonts w:hint="eastAsia"/>
          <w:lang w:eastAsia="zh-CN"/>
        </w:rPr>
        <w:t>；</w:t>
      </w:r>
    </w:p>
    <w:p>
      <w:pPr>
        <w:numPr>
          <w:ilvl w:val="0"/>
          <w:numId w:val="1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  <w:lang w:val="en-US" w:eastAsia="zh-CN"/>
        </w:rPr>
        <w:t>等离子电切镜消毒篮1个。</w:t>
      </w:r>
    </w:p>
    <w:p>
      <w:pPr>
        <w:numPr>
          <w:numId w:val="0"/>
        </w:numPr>
        <w:spacing w:line="360" w:lineRule="auto"/>
        <w:ind w:leftChars="0"/>
        <w:rPr>
          <w:rFonts w:hint="default"/>
          <w:lang w:val="en-US" w:eastAsia="zh-CN"/>
        </w:rPr>
      </w:pPr>
      <w:bookmarkStart w:id="0" w:name="_GoBack"/>
      <w:bookmarkEnd w:id="0"/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ongti SC">
    <w:altName w:val="宋体"/>
    <w:panose1 w:val="02010800040001010101"/>
    <w:charset w:val="86"/>
    <w:family w:val="auto"/>
    <w:pitch w:val="default"/>
    <w:sig w:usb0="00000000" w:usb1="00000000" w:usb2="00000000" w:usb3="00000000" w:csb0="00040000" w:csb1="00000000"/>
  </w:font>
  <w:font w:name="Times New Roman Bold">
    <w:altName w:val="Times New Roman"/>
    <w:panose1 w:val="02020503050004090304"/>
    <w:charset w:val="00"/>
    <w:family w:val="auto"/>
    <w:pitch w:val="default"/>
    <w:sig w:usb0="00000000" w:usb1="00000000" w:usb2="00000001" w:usb3="00000000" w:csb0="400001BF" w:csb1="DFF70000"/>
  </w:font>
  <w:font w:name="Heiti SC Medium">
    <w:altName w:val="宋体"/>
    <w:panose1 w:val="02000000000000000000"/>
    <w:charset w:val="86"/>
    <w:family w:val="auto"/>
    <w:pitch w:val="default"/>
    <w:sig w:usb0="00000000" w:usb1="00000000" w:usb2="00000000" w:usb3="00000000" w:csb0="203E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">
    <w:altName w:val="Times New Roman"/>
    <w:panose1 w:val="00000500000000020000"/>
    <w:charset w:val="00"/>
    <w:family w:val="auto"/>
    <w:pitch w:val="default"/>
    <w:sig w:usb0="00000000" w:usb1="00000000" w:usb2="00000000" w:usb3="00000000" w:csb0="2000019F" w:csb1="4F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multilevel"/>
    <w:tmpl w:val="00000000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4A037F"/>
    <w:rsid w:val="13A6469C"/>
    <w:rsid w:val="31447BE1"/>
    <w:rsid w:val="32383C41"/>
    <w:rsid w:val="337829AA"/>
    <w:rsid w:val="36693106"/>
    <w:rsid w:val="3986014B"/>
    <w:rsid w:val="41BE041A"/>
    <w:rsid w:val="778C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Songti SC" w:cs="宋体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numPr>
        <w:ilvl w:val="0"/>
        <w:numId w:val="1"/>
      </w:numPr>
      <w:spacing w:line="360" w:lineRule="auto"/>
      <w:ind w:hanging="432"/>
      <w:jc w:val="left"/>
      <w:outlineLvl w:val="0"/>
    </w:pPr>
    <w:rPr>
      <w:rFonts w:hint="eastAsia" w:ascii="Times New Roman Bold" w:hAnsi="Times New Roman Bold" w:eastAsia="Heiti SC Medium" w:cs="Times New Roman"/>
      <w:b/>
      <w:kern w:val="44"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adjustRightInd w:val="0"/>
      <w:snapToGrid w:val="0"/>
      <w:spacing w:before="80" w:beforeAutospacing="0" w:after="80" w:afterAutospacing="0" w:line="360" w:lineRule="auto"/>
      <w:ind w:left="575" w:hanging="575"/>
      <w:outlineLvl w:val="1"/>
    </w:pPr>
    <w:rPr>
      <w:rFonts w:ascii="Times New Roman Bold" w:hAnsi="Times New Roman Bold" w:eastAsia="Heiti SC Medium"/>
      <w:b/>
      <w:sz w:val="44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60" w:beforeAutospacing="0" w:after="60" w:afterAutospacing="0" w:line="360" w:lineRule="auto"/>
      <w:ind w:left="720" w:hanging="720"/>
      <w:outlineLvl w:val="2"/>
    </w:pPr>
    <w:rPr>
      <w:rFonts w:ascii="Times New Roman Bold" w:hAnsi="Times New Roman Bold" w:eastAsia="Heiti SC Medium"/>
      <w:b/>
      <w:sz w:val="36"/>
    </w:rPr>
  </w:style>
  <w:style w:type="paragraph" w:styleId="5">
    <w:name w:val="heading 4"/>
    <w:basedOn w:val="1"/>
    <w:next w:val="1"/>
    <w:qFormat/>
    <w:uiPriority w:val="0"/>
    <w:pPr>
      <w:keepNext/>
      <w:keepLines/>
      <w:numPr>
        <w:ilvl w:val="3"/>
        <w:numId w:val="2"/>
      </w:numPr>
      <w:spacing w:before="60" w:beforeAutospacing="0" w:after="60" w:afterAutospacing="0" w:line="360" w:lineRule="auto"/>
      <w:ind w:left="864" w:hanging="864"/>
      <w:outlineLvl w:val="3"/>
    </w:pPr>
    <w:rPr>
      <w:rFonts w:ascii="Times New Roman Bold" w:hAnsi="Times New Roman Bold" w:eastAsia="Heiti SC Medium"/>
      <w:b/>
      <w:sz w:val="32"/>
    </w:rPr>
  </w:style>
  <w:style w:type="paragraph" w:styleId="6">
    <w:name w:val="heading 5"/>
    <w:basedOn w:val="1"/>
    <w:next w:val="1"/>
    <w:qFormat/>
    <w:uiPriority w:val="0"/>
    <w:pPr>
      <w:keepNext/>
      <w:keepLines/>
      <w:numPr>
        <w:ilvl w:val="4"/>
        <w:numId w:val="1"/>
      </w:numPr>
      <w:spacing w:before="60" w:beforeAutospacing="0" w:after="60" w:afterAutospacing="0" w:line="360" w:lineRule="auto"/>
      <w:ind w:left="0" w:firstLine="0"/>
      <w:outlineLvl w:val="4"/>
    </w:pPr>
    <w:rPr>
      <w:rFonts w:ascii="Times New Roman Bold" w:hAnsi="Times New Roman Bold" w:eastAsia="Heiti SC Medium"/>
      <w:b/>
      <w:sz w:val="30"/>
    </w:rPr>
  </w:style>
  <w:style w:type="paragraph" w:styleId="7">
    <w:name w:val="heading 6"/>
    <w:basedOn w:val="1"/>
    <w:next w:val="1"/>
    <w:qFormat/>
    <w:uiPriority w:val="0"/>
    <w:pPr>
      <w:keepNext/>
      <w:keepLines/>
      <w:numPr>
        <w:ilvl w:val="5"/>
        <w:numId w:val="1"/>
      </w:numPr>
      <w:spacing w:before="240" w:beforeAutospacing="0" w:after="64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qFormat/>
    <w:uiPriority w:val="0"/>
    <w:pPr>
      <w:keepNext/>
      <w:keepLines/>
      <w:numPr>
        <w:ilvl w:val="6"/>
        <w:numId w:val="1"/>
      </w:numPr>
      <w:spacing w:before="240" w:beforeAutospacing="0" w:after="64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qFormat/>
    <w:uiPriority w:val="0"/>
    <w:pPr>
      <w:keepNext/>
      <w:keepLines/>
      <w:numPr>
        <w:ilvl w:val="7"/>
        <w:numId w:val="1"/>
      </w:numPr>
      <w:spacing w:before="240" w:beforeAutospacing="0" w:after="64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qFormat/>
    <w:uiPriority w:val="0"/>
    <w:pPr>
      <w:keepNext/>
      <w:keepLines/>
      <w:numPr>
        <w:ilvl w:val="8"/>
        <w:numId w:val="1"/>
      </w:numPr>
      <w:spacing w:before="240" w:beforeAutospacing="0" w:after="64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4">
    <w:name w:val="Default Paragraph Font"/>
    <w:qFormat/>
    <w:uiPriority w:val="0"/>
  </w:style>
  <w:style w:type="table" w:default="1" w:styleId="1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901</Words>
  <Characters>974</Characters>
  <Paragraphs>12</Paragraphs>
  <TotalTime>6</TotalTime>
  <ScaleCrop>false</ScaleCrop>
  <LinksUpToDate>false</LinksUpToDate>
  <CharactersWithSpaces>976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2025-09-08T18:05:00Z</dcterms:created>
  <dc:creator>王玺</dc:creator>
  <cp:lastModifiedBy>Administrator</cp:lastModifiedBy>
  <dcterms:modified xsi:type="dcterms:W3CDTF">2026-03-12T02:58:13Z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1FE49441BAB04746A4457D37E6BFCC91_13</vt:lpwstr>
  </property>
  <property fmtid="{D5CDD505-2E9C-101B-9397-08002B2CF9AE}" pid="4" name="KSOTemplateDocerSaveRecord">
    <vt:lpwstr>eyJoZGlkIjoiYzhhNTYyMWU5ZDJiZDk2NWQ0ZjE2MTM4MTJkYWY0ZTciLCJ1c2VySWQiOiI2MjY1NTMzNTEifQ==</vt:lpwstr>
  </property>
</Properties>
</file>